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62AA" w14:textId="05771AC0" w:rsidR="00B34C0B" w:rsidRPr="00B34C0B" w:rsidRDefault="00B34C0B" w:rsidP="00B34C0B">
      <w:pPr>
        <w:jc w:val="center"/>
        <w:rPr>
          <w:b/>
          <w:bCs/>
        </w:rPr>
      </w:pPr>
      <w:r w:rsidRPr="00B34C0B">
        <w:rPr>
          <w:b/>
          <w:bCs/>
        </w:rPr>
        <w:t xml:space="preserve">Policy and Planning Committee </w:t>
      </w:r>
      <w:r w:rsidR="005C0A9E">
        <w:rPr>
          <w:b/>
          <w:bCs/>
        </w:rPr>
        <w:t>Meeting Minutes 10.11.2021</w:t>
      </w:r>
    </w:p>
    <w:p w14:paraId="060EB620" w14:textId="6E0EF3F9" w:rsidR="00B34C0B" w:rsidRPr="00B34C0B" w:rsidRDefault="005C0A9E" w:rsidP="00B34C0B">
      <w:pPr>
        <w:jc w:val="center"/>
        <w:rPr>
          <w:b/>
          <w:bCs/>
        </w:rPr>
      </w:pPr>
      <w:r>
        <w:rPr>
          <w:b/>
          <w:bCs/>
        </w:rPr>
        <w:t>12:00 PM</w:t>
      </w:r>
    </w:p>
    <w:p w14:paraId="5268D992" w14:textId="40DCEBFD" w:rsidR="00B34C0B" w:rsidRDefault="00B34C0B" w:rsidP="005C0A9E">
      <w:pPr>
        <w:pStyle w:val="ListParagraph"/>
      </w:pPr>
    </w:p>
    <w:p w14:paraId="76563208" w14:textId="63CA570A" w:rsidR="005C0A9E" w:rsidRDefault="005C0A9E" w:rsidP="005C0A9E">
      <w:pPr>
        <w:pStyle w:val="ListParagraph"/>
      </w:pPr>
    </w:p>
    <w:p w14:paraId="6479F778" w14:textId="4EB2805B" w:rsidR="005C0A9E" w:rsidRDefault="005C0A9E" w:rsidP="005C0A9E">
      <w:pPr>
        <w:pStyle w:val="ListParagraph"/>
      </w:pPr>
      <w:r w:rsidRPr="00CA0218">
        <w:rPr>
          <w:b/>
          <w:bCs/>
        </w:rPr>
        <w:t>Present:</w:t>
      </w:r>
      <w:r>
        <w:t xml:space="preserve"> Steve Collins, Matthew Mosher, Bridget </w:t>
      </w:r>
      <w:proofErr w:type="spellStart"/>
      <w:r>
        <w:t>Rubenking</w:t>
      </w:r>
      <w:proofErr w:type="spellEnd"/>
      <w:r>
        <w:t>, Sally Hastings, Peter Smith, Ann Miller (chair)</w:t>
      </w:r>
    </w:p>
    <w:p w14:paraId="30F3084A" w14:textId="7691C191" w:rsidR="005C0A9E" w:rsidRDefault="005C0A9E" w:rsidP="005C0A9E">
      <w:pPr>
        <w:pStyle w:val="ListParagraph"/>
      </w:pPr>
    </w:p>
    <w:p w14:paraId="50BBCAD7" w14:textId="0DC03546" w:rsidR="00CA0218" w:rsidRDefault="005C0A9E" w:rsidP="00CA0218">
      <w:pPr>
        <w:pStyle w:val="ListParagraph"/>
      </w:pPr>
      <w:r>
        <w:t xml:space="preserve">The committee voted 6 to 0 to approve the </w:t>
      </w:r>
      <w:r w:rsidR="00CA0218">
        <w:t>tenure track AESP document to go out for faculty vote, suggestions by the Dean of COS having been incorporated and okayed by the relevant ad hoc committee</w:t>
      </w:r>
      <w:r>
        <w:t>.</w:t>
      </w:r>
    </w:p>
    <w:p w14:paraId="21C88038" w14:textId="23EBAA41" w:rsidR="00CA0218" w:rsidRDefault="00CA0218" w:rsidP="00CA0218">
      <w:pPr>
        <w:pStyle w:val="ListParagraph"/>
      </w:pPr>
    </w:p>
    <w:p w14:paraId="22EF4526" w14:textId="34071D8F" w:rsidR="00CA0218" w:rsidRDefault="00CA0218" w:rsidP="00CA0218">
      <w:pPr>
        <w:pStyle w:val="ListParagraph"/>
      </w:pPr>
      <w:r>
        <w:t>Extensive discussion was held regarding the teaching and research ELP documents (the “Course Assignment Guidelines” document having been repurposed to serve as the school-wide teaching ELP document. The committee determined that no further progress could be made on the research ELP document without hearing from Dr. Littlefield. The following questions are to be sent ahead to Dr. Littlefield along with an invitation to attend the committee’s January meeting.</w:t>
      </w:r>
    </w:p>
    <w:p w14:paraId="1005D8A9" w14:textId="4B55797A" w:rsidR="00CA0218" w:rsidRDefault="00CA0218" w:rsidP="00CA0218">
      <w:pPr>
        <w:pStyle w:val="ListParagraph"/>
      </w:pPr>
    </w:p>
    <w:p w14:paraId="1A3304D7" w14:textId="77777777" w:rsidR="00CA0218" w:rsidRDefault="00CA0218" w:rsidP="00CA0218">
      <w:pPr>
        <w:pStyle w:val="ListParagraph"/>
        <w:numPr>
          <w:ilvl w:val="0"/>
          <w:numId w:val="2"/>
        </w:numPr>
        <w:contextualSpacing w:val="0"/>
        <w:rPr>
          <w:rFonts w:ascii="Calibri" w:hAnsi="Calibri" w:cs="Calibri"/>
          <w:color w:val="000000"/>
        </w:rPr>
      </w:pPr>
      <w:r>
        <w:rPr>
          <w:rFonts w:ascii="Calibri" w:hAnsi="Calibri" w:cs="Calibri"/>
          <w:color w:val="000000"/>
        </w:rPr>
        <w:t>What are the factors that make the previous ELP policy (in which legacy Nicholson faculty were able to earn a 2-2 teaching load via high research/creative productivity) untenable in the new school? It would be helpful to see specific numbers.</w:t>
      </w:r>
    </w:p>
    <w:p w14:paraId="324D5F5C" w14:textId="77777777" w:rsidR="00CA0218" w:rsidRDefault="00CA0218" w:rsidP="00CA0218">
      <w:pPr>
        <w:pStyle w:val="ListParagraph"/>
        <w:numPr>
          <w:ilvl w:val="0"/>
          <w:numId w:val="2"/>
        </w:numPr>
        <w:contextualSpacing w:val="0"/>
        <w:rPr>
          <w:rFonts w:ascii="Calibri" w:hAnsi="Calibri" w:cs="Calibri"/>
          <w:color w:val="000000"/>
        </w:rPr>
      </w:pPr>
      <w:r>
        <w:rPr>
          <w:rFonts w:ascii="Calibri" w:hAnsi="Calibri" w:cs="Calibri"/>
          <w:color w:val="000000"/>
        </w:rPr>
        <w:t>Is it possible to have different ELP documents for each unit? Is it possible to have different course assignment documents for each unit? It is not clear to us what type of policies must be passed at school-level and which can be agreed upon at the area program level.</w:t>
      </w:r>
    </w:p>
    <w:p w14:paraId="5D500930" w14:textId="77777777" w:rsidR="00CA0218" w:rsidRDefault="00CA0218" w:rsidP="00CA0218">
      <w:pPr>
        <w:pStyle w:val="ListParagraph"/>
        <w:numPr>
          <w:ilvl w:val="0"/>
          <w:numId w:val="2"/>
        </w:numPr>
        <w:contextualSpacing w:val="0"/>
        <w:rPr>
          <w:rFonts w:ascii="Calibri" w:hAnsi="Calibri" w:cs="Calibri"/>
          <w:color w:val="000000"/>
        </w:rPr>
      </w:pPr>
      <w:r>
        <w:rPr>
          <w:rFonts w:ascii="Calibri" w:hAnsi="Calibri" w:cs="Calibri"/>
          <w:color w:val="000000"/>
        </w:rPr>
        <w:t>What is normal course load for tenured faculty across the College of Sciences? What sort of equivalent to the legacy Nicholson Equitable Load Policy, if any, is in operation in other units?</w:t>
      </w:r>
    </w:p>
    <w:p w14:paraId="627D5C30" w14:textId="77777777" w:rsidR="00CA0218" w:rsidRDefault="00CA0218" w:rsidP="00CA0218">
      <w:pPr>
        <w:pStyle w:val="ListParagraph"/>
        <w:numPr>
          <w:ilvl w:val="0"/>
          <w:numId w:val="2"/>
        </w:numPr>
        <w:contextualSpacing w:val="0"/>
        <w:rPr>
          <w:rFonts w:ascii="Calibri" w:hAnsi="Calibri" w:cs="Calibri"/>
          <w:color w:val="000000"/>
        </w:rPr>
      </w:pPr>
      <w:r>
        <w:rPr>
          <w:rFonts w:ascii="Calibri" w:hAnsi="Calibri" w:cs="Calibri"/>
          <w:color w:val="000000"/>
        </w:rPr>
        <w:t xml:space="preserve">The committee is concerned about the need to include an exception statement in the course assignment policy. I am attaching the first attempt at changing the assignment guidelines draft that we finalized last spring into a new policy. Changes to the document are highlighted in yellow. Can we considerably narrow my first attempt at an exception statement? </w:t>
      </w:r>
      <w:proofErr w:type="gramStart"/>
      <w:r>
        <w:rPr>
          <w:rFonts w:ascii="Calibri" w:hAnsi="Calibri" w:cs="Calibri"/>
          <w:color w:val="000000"/>
        </w:rPr>
        <w:t>Or,</w:t>
      </w:r>
      <w:proofErr w:type="gramEnd"/>
      <w:r>
        <w:rPr>
          <w:rFonts w:ascii="Calibri" w:hAnsi="Calibri" w:cs="Calibri"/>
          <w:color w:val="000000"/>
        </w:rPr>
        <w:t xml:space="preserve"> is it possible that exceptions in times of financial duress, pandemics, etc., are covered in the CBA or college policy and need not be explicitly stated?</w:t>
      </w:r>
    </w:p>
    <w:p w14:paraId="7E4690E6" w14:textId="77777777" w:rsidR="00CA0218" w:rsidRDefault="00CA0218" w:rsidP="00CA0218">
      <w:pPr>
        <w:pStyle w:val="ListParagraph"/>
        <w:numPr>
          <w:ilvl w:val="0"/>
          <w:numId w:val="2"/>
        </w:numPr>
        <w:contextualSpacing w:val="0"/>
        <w:rPr>
          <w:rFonts w:ascii="Calibri" w:hAnsi="Calibri" w:cs="Calibri"/>
          <w:color w:val="000000"/>
        </w:rPr>
      </w:pPr>
      <w:r>
        <w:rPr>
          <w:rFonts w:ascii="Calibri" w:hAnsi="Calibri" w:cs="Calibri"/>
          <w:color w:val="000000"/>
        </w:rPr>
        <w:t>What plans are being made to equalize discrepancies in student-faculty ratio that have arisen since GaIM lost 8 faculty members to CAH? (This would be the original question you had offered to come address with us.)</w:t>
      </w:r>
    </w:p>
    <w:p w14:paraId="7431C43C" w14:textId="77777777" w:rsidR="00CA0218" w:rsidRDefault="00CA0218" w:rsidP="00CA0218">
      <w:pPr>
        <w:pStyle w:val="ListParagraph"/>
        <w:numPr>
          <w:ilvl w:val="0"/>
          <w:numId w:val="2"/>
        </w:numPr>
        <w:contextualSpacing w:val="0"/>
        <w:rPr>
          <w:rFonts w:ascii="Calibri" w:hAnsi="Calibri" w:cs="Calibri"/>
          <w:color w:val="000000"/>
        </w:rPr>
      </w:pPr>
      <w:r>
        <w:rPr>
          <w:rFonts w:ascii="Calibri" w:hAnsi="Calibri" w:cs="Calibri"/>
          <w:color w:val="000000"/>
        </w:rPr>
        <w:t>And finally, a minor point. It seems that in some programs, a single course is counted as .22 of FTE. In others it seems to be .11. Could you clarify for us how that determination is made?</w:t>
      </w:r>
    </w:p>
    <w:p w14:paraId="3442153A" w14:textId="77777777" w:rsidR="00CA0218" w:rsidRDefault="00CA0218" w:rsidP="00CA0218"/>
    <w:p w14:paraId="29220BFF" w14:textId="77777777" w:rsidR="00CA0218" w:rsidRDefault="00CA0218" w:rsidP="00CA0218">
      <w:pPr>
        <w:pStyle w:val="ListParagraph"/>
      </w:pPr>
    </w:p>
    <w:p w14:paraId="41226257" w14:textId="4B3D199C" w:rsidR="005C0A9E" w:rsidRDefault="005C0A9E" w:rsidP="005C0A9E">
      <w:pPr>
        <w:pStyle w:val="ListParagraph"/>
      </w:pPr>
    </w:p>
    <w:sectPr w:rsidR="005C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3EB"/>
    <w:multiLevelType w:val="hybridMultilevel"/>
    <w:tmpl w:val="9644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B7856"/>
    <w:multiLevelType w:val="multilevel"/>
    <w:tmpl w:val="84B4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0B"/>
    <w:rsid w:val="005C0A9E"/>
    <w:rsid w:val="00A73DC3"/>
    <w:rsid w:val="00B34C0B"/>
    <w:rsid w:val="00C14EA6"/>
    <w:rsid w:val="00C8684B"/>
    <w:rsid w:val="00CA0218"/>
    <w:rsid w:val="00DD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C373"/>
  <w15:chartTrackingRefBased/>
  <w15:docId w15:val="{739EB489-A94A-D648-82B6-4EF324C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4</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Miller</dc:creator>
  <cp:keywords/>
  <dc:description/>
  <cp:lastModifiedBy>Ryan Fox</cp:lastModifiedBy>
  <cp:revision>2</cp:revision>
  <dcterms:created xsi:type="dcterms:W3CDTF">2022-01-13T20:21:00Z</dcterms:created>
  <dcterms:modified xsi:type="dcterms:W3CDTF">2022-01-13T20:21:00Z</dcterms:modified>
</cp:coreProperties>
</file>